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378C" w14:textId="0F0E9E9D" w:rsidR="00F0121F" w:rsidRDefault="00F0121F" w:rsidP="00F0121F">
      <w:pPr>
        <w:pStyle w:val="NoSpacing"/>
        <w:jc w:val="center"/>
        <w:rPr>
          <w:rFonts w:cstheme="minorHAnsi"/>
          <w:sz w:val="24"/>
          <w:lang w:val="it-IT"/>
        </w:rPr>
      </w:pPr>
      <w:r>
        <w:rPr>
          <w:rFonts w:cstheme="minorHAnsi"/>
          <w:noProof/>
          <w:sz w:val="24"/>
          <w:lang w:val="it-IT"/>
        </w:rPr>
        <w:drawing>
          <wp:inline distT="0" distB="0" distL="0" distR="0" wp14:anchorId="5EC99244" wp14:editId="0DC649DA">
            <wp:extent cx="2021124" cy="2028825"/>
            <wp:effectExtent l="0" t="0" r="0" b="0"/>
            <wp:docPr id="1950705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8" cy="2031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8BF77" w14:textId="77777777" w:rsidR="00F0121F" w:rsidRDefault="00F0121F" w:rsidP="00F012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0D8148F" w14:textId="77777777" w:rsidR="00C8079A" w:rsidRPr="00C8079A" w:rsidRDefault="00C8079A" w:rsidP="00C807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79A">
        <w:rPr>
          <w:rStyle w:val="Strong"/>
          <w:rFonts w:ascii="Times New Roman" w:hAnsi="Times New Roman" w:cs="Times New Roman"/>
          <w:sz w:val="28"/>
          <w:szCs w:val="28"/>
        </w:rPr>
        <w:t>Prof. Dr. Nikola Petricevic, DDM MS PhD</w:t>
      </w:r>
      <w:r w:rsidRPr="00C8079A">
        <w:rPr>
          <w:rFonts w:ascii="Times New Roman" w:hAnsi="Times New Roman" w:cs="Times New Roman"/>
          <w:sz w:val="28"/>
          <w:szCs w:val="28"/>
        </w:rPr>
        <w:br/>
        <w:t>Profesor i Asociuar në Fakultetin e Stomatologjisë, Universiteti i Zagrebit.</w:t>
      </w:r>
      <w:r w:rsidRPr="00C8079A">
        <w:rPr>
          <w:rFonts w:ascii="Times New Roman" w:hAnsi="Times New Roman" w:cs="Times New Roman"/>
          <w:sz w:val="28"/>
          <w:szCs w:val="28"/>
        </w:rPr>
        <w:br/>
      </w:r>
    </w:p>
    <w:p w14:paraId="2CA063C0" w14:textId="7625E423" w:rsidR="00DC35B3" w:rsidRPr="00F0121F" w:rsidRDefault="00DC35B3" w:rsidP="00F0121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121F">
        <w:rPr>
          <w:rFonts w:ascii="Times New Roman" w:hAnsi="Times New Roman" w:cs="Times New Roman"/>
          <w:b/>
          <w:sz w:val="28"/>
          <w:szCs w:val="28"/>
          <w:lang w:val="en-US"/>
        </w:rPr>
        <w:t>Mini-implantet si mbështetëse të protezës së poshtme mbuluese</w:t>
      </w:r>
    </w:p>
    <w:p w14:paraId="201F95EB" w14:textId="0BA2DCAB" w:rsidR="00DC35B3" w:rsidRPr="00F0121F" w:rsidRDefault="00DC35B3" w:rsidP="00F01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1F">
        <w:rPr>
          <w:rFonts w:ascii="Times New Roman" w:hAnsi="Times New Roman" w:cs="Times New Roman"/>
          <w:sz w:val="24"/>
          <w:szCs w:val="24"/>
        </w:rPr>
        <w:t xml:space="preserve">Mini-implantet një pjesësshme të vetme dhe me gjerësi ≤ 2.5 mm njihen si mini-implante. Ato u shfaqën në treg rreth 25 vjet më parë dhe ende shkaktojnë diskutime mbi indikacionet në stomatologji. Të parët kishin një sipërfaqe të lëmuar dhe shkalla e osseointegrimit </w:t>
      </w:r>
      <w:r w:rsidR="003604C0" w:rsidRPr="00F0121F">
        <w:rPr>
          <w:rFonts w:ascii="Times New Roman" w:hAnsi="Times New Roman" w:cs="Times New Roman"/>
          <w:sz w:val="24"/>
          <w:szCs w:val="24"/>
        </w:rPr>
        <w:t xml:space="preserve">ishte e pakët, prandaj përdoreshin </w:t>
      </w:r>
      <w:r w:rsidRPr="00F0121F">
        <w:rPr>
          <w:rFonts w:ascii="Times New Roman" w:hAnsi="Times New Roman" w:cs="Times New Roman"/>
          <w:sz w:val="24"/>
          <w:szCs w:val="24"/>
        </w:rPr>
        <w:t xml:space="preserve">për të mbështetur suprastruktura të përkohshme. Trajtimi i sipërfaqes së tyre në të njëjtën mënyrë si implantet standarde dhe përdorimi i aliazheve më të forta ndryshoi indikacionin e tyre në mbështetje për </w:t>
      </w:r>
      <w:r w:rsidR="003604C0" w:rsidRPr="00F0121F">
        <w:rPr>
          <w:rFonts w:ascii="Times New Roman" w:hAnsi="Times New Roman" w:cs="Times New Roman"/>
          <w:sz w:val="24"/>
          <w:szCs w:val="24"/>
        </w:rPr>
        <w:t>zgjidhje të përhershme protetikore</w:t>
      </w:r>
      <w:r w:rsidRPr="00F0121F">
        <w:rPr>
          <w:rFonts w:ascii="Times New Roman" w:hAnsi="Times New Roman" w:cs="Times New Roman"/>
          <w:sz w:val="24"/>
          <w:szCs w:val="24"/>
        </w:rPr>
        <w:t>. Kjo çoi në rritjen e mbijetesës klinike. Sot, mini-implantet janë një nga opsionet pë</w:t>
      </w:r>
      <w:r w:rsidR="003604C0" w:rsidRPr="00F0121F">
        <w:rPr>
          <w:rFonts w:ascii="Times New Roman" w:hAnsi="Times New Roman" w:cs="Times New Roman"/>
          <w:sz w:val="24"/>
          <w:szCs w:val="24"/>
        </w:rPr>
        <w:t>r të mbështetur protezën totale</w:t>
      </w:r>
      <w:r w:rsidRPr="00F0121F">
        <w:rPr>
          <w:rFonts w:ascii="Times New Roman" w:hAnsi="Times New Roman" w:cs="Times New Roman"/>
          <w:sz w:val="24"/>
          <w:szCs w:val="24"/>
        </w:rPr>
        <w:t xml:space="preserve"> të lëvizshme. Edhe pse përdoren gjithnjë e më shumë në praktikën e përditshme, ende na duhen rekomandime se si të punojmë me to në raste të n</w:t>
      </w:r>
      <w:r w:rsidR="003604C0" w:rsidRPr="00F0121F">
        <w:rPr>
          <w:rFonts w:ascii="Times New Roman" w:hAnsi="Times New Roman" w:cs="Times New Roman"/>
          <w:sz w:val="24"/>
          <w:szCs w:val="24"/>
        </w:rPr>
        <w:t>dryshme klinike. Në këtë ligjerat</w:t>
      </w:r>
      <w:r w:rsidRPr="00F0121F">
        <w:rPr>
          <w:rFonts w:ascii="Times New Roman" w:hAnsi="Times New Roman" w:cs="Times New Roman"/>
          <w:sz w:val="24"/>
          <w:szCs w:val="24"/>
        </w:rPr>
        <w:t xml:space="preserve"> do të shpjegohet shkurtimisht numri dhe pozicioni i tyre optimal në harkun dentar, udhëzimet për masat parap</w:t>
      </w:r>
      <w:r w:rsidR="003604C0" w:rsidRPr="00F0121F">
        <w:rPr>
          <w:rFonts w:ascii="Times New Roman" w:hAnsi="Times New Roman" w:cs="Times New Roman"/>
          <w:sz w:val="24"/>
          <w:szCs w:val="24"/>
        </w:rPr>
        <w:t>rake gjatë insertimit</w:t>
      </w:r>
      <w:r w:rsidRPr="00F0121F">
        <w:rPr>
          <w:rFonts w:ascii="Times New Roman" w:hAnsi="Times New Roman" w:cs="Times New Roman"/>
          <w:sz w:val="24"/>
          <w:szCs w:val="24"/>
        </w:rPr>
        <w:t>, kundërindikacionet relative dhe absolute. Për më tepër, rëndësia e trashësisë së indeve të buta dhe mukozës së ngjitur duhet të përfshihet në planifikimin e trajtimit. Opsioni për splintimin mund të na ndihmojë të shpërndajmë më mirë ngarkesën mbi strukturat mbështetëse, veçanërisht në rastet e ngarkesës njëanshm</w:t>
      </w:r>
      <w:r w:rsidR="003604C0" w:rsidRPr="00F0121F">
        <w:rPr>
          <w:rFonts w:ascii="Times New Roman" w:hAnsi="Times New Roman" w:cs="Times New Roman"/>
          <w:sz w:val="24"/>
          <w:szCs w:val="24"/>
        </w:rPr>
        <w:t>e. Këto këshilla duhet të merren</w:t>
      </w:r>
      <w:r w:rsidRPr="00F0121F">
        <w:rPr>
          <w:rFonts w:ascii="Times New Roman" w:hAnsi="Times New Roman" w:cs="Times New Roman"/>
          <w:sz w:val="24"/>
          <w:szCs w:val="24"/>
        </w:rPr>
        <w:t xml:space="preserve"> parasysh kur planifikohet një protezë mbuluese e lëvizshme mbi mini-implante. Prezantimi përfshin të gjithë njohuritë shkencore të publikuara dhe përvojën klinike të fundit.</w:t>
      </w:r>
    </w:p>
    <w:p w14:paraId="6DEF07BB" w14:textId="77777777" w:rsidR="00DC35B3" w:rsidRPr="00F0121F" w:rsidRDefault="00DC35B3" w:rsidP="00F01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C35B3" w:rsidRPr="00F0121F" w:rsidSect="00240B98">
      <w:pgSz w:w="11906" w:h="16838"/>
      <w:pgMar w:top="13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sDQ0szQyMLIwN7NQ0lEKTi0uzszPAykwqQUAaW6VqCwAAAA="/>
  </w:docVars>
  <w:rsids>
    <w:rsidRoot w:val="00A1793B"/>
    <w:rsid w:val="00012A01"/>
    <w:rsid w:val="00015524"/>
    <w:rsid w:val="00044118"/>
    <w:rsid w:val="00053BEA"/>
    <w:rsid w:val="00067C8F"/>
    <w:rsid w:val="00090760"/>
    <w:rsid w:val="000C772B"/>
    <w:rsid w:val="000E46D7"/>
    <w:rsid w:val="000E6ABB"/>
    <w:rsid w:val="00125681"/>
    <w:rsid w:val="00134630"/>
    <w:rsid w:val="00141AC2"/>
    <w:rsid w:val="00153469"/>
    <w:rsid w:val="00155B73"/>
    <w:rsid w:val="00160362"/>
    <w:rsid w:val="00160D96"/>
    <w:rsid w:val="001756AB"/>
    <w:rsid w:val="001901E9"/>
    <w:rsid w:val="0019277C"/>
    <w:rsid w:val="001A242C"/>
    <w:rsid w:val="001B1C21"/>
    <w:rsid w:val="001B1D25"/>
    <w:rsid w:val="001D33EA"/>
    <w:rsid w:val="001F30FD"/>
    <w:rsid w:val="001F5D88"/>
    <w:rsid w:val="002023EB"/>
    <w:rsid w:val="00222881"/>
    <w:rsid w:val="00224793"/>
    <w:rsid w:val="00240B98"/>
    <w:rsid w:val="002539EC"/>
    <w:rsid w:val="00257D7D"/>
    <w:rsid w:val="00257F3E"/>
    <w:rsid w:val="00261563"/>
    <w:rsid w:val="00263908"/>
    <w:rsid w:val="002802DC"/>
    <w:rsid w:val="00286537"/>
    <w:rsid w:val="002B6E31"/>
    <w:rsid w:val="002C6DDE"/>
    <w:rsid w:val="002E1467"/>
    <w:rsid w:val="002E33F0"/>
    <w:rsid w:val="00323BFD"/>
    <w:rsid w:val="00355A6B"/>
    <w:rsid w:val="003604C0"/>
    <w:rsid w:val="003655EB"/>
    <w:rsid w:val="00375D20"/>
    <w:rsid w:val="00396AED"/>
    <w:rsid w:val="00396D6A"/>
    <w:rsid w:val="003D0367"/>
    <w:rsid w:val="003D558C"/>
    <w:rsid w:val="003E26CC"/>
    <w:rsid w:val="003F5D15"/>
    <w:rsid w:val="00404A53"/>
    <w:rsid w:val="0041003D"/>
    <w:rsid w:val="00413FAB"/>
    <w:rsid w:val="00421C3F"/>
    <w:rsid w:val="00424628"/>
    <w:rsid w:val="00432A4C"/>
    <w:rsid w:val="004366E4"/>
    <w:rsid w:val="00445902"/>
    <w:rsid w:val="00446214"/>
    <w:rsid w:val="00447BCC"/>
    <w:rsid w:val="00465053"/>
    <w:rsid w:val="00467AA7"/>
    <w:rsid w:val="004920E2"/>
    <w:rsid w:val="00492728"/>
    <w:rsid w:val="004B20C9"/>
    <w:rsid w:val="004C14D4"/>
    <w:rsid w:val="004C7FB5"/>
    <w:rsid w:val="004D3E58"/>
    <w:rsid w:val="004D7977"/>
    <w:rsid w:val="004E40B4"/>
    <w:rsid w:val="004F1BA5"/>
    <w:rsid w:val="0050160A"/>
    <w:rsid w:val="00502BA0"/>
    <w:rsid w:val="00504D06"/>
    <w:rsid w:val="00507450"/>
    <w:rsid w:val="00514C21"/>
    <w:rsid w:val="00522923"/>
    <w:rsid w:val="0054543C"/>
    <w:rsid w:val="00571446"/>
    <w:rsid w:val="005A37E8"/>
    <w:rsid w:val="005B4347"/>
    <w:rsid w:val="005C62BB"/>
    <w:rsid w:val="005D0BDE"/>
    <w:rsid w:val="005D3F34"/>
    <w:rsid w:val="005E14D9"/>
    <w:rsid w:val="00612428"/>
    <w:rsid w:val="00613B8E"/>
    <w:rsid w:val="00613E73"/>
    <w:rsid w:val="00621161"/>
    <w:rsid w:val="0062164D"/>
    <w:rsid w:val="00622AC8"/>
    <w:rsid w:val="00627A43"/>
    <w:rsid w:val="00664660"/>
    <w:rsid w:val="006C28AA"/>
    <w:rsid w:val="006F0B83"/>
    <w:rsid w:val="00700D32"/>
    <w:rsid w:val="0072046B"/>
    <w:rsid w:val="00725402"/>
    <w:rsid w:val="0074496E"/>
    <w:rsid w:val="007516E1"/>
    <w:rsid w:val="00783778"/>
    <w:rsid w:val="00794105"/>
    <w:rsid w:val="007A493F"/>
    <w:rsid w:val="007B4EB9"/>
    <w:rsid w:val="007C3FF1"/>
    <w:rsid w:val="007D7196"/>
    <w:rsid w:val="007F570F"/>
    <w:rsid w:val="008044B8"/>
    <w:rsid w:val="008242E9"/>
    <w:rsid w:val="00824E22"/>
    <w:rsid w:val="00835280"/>
    <w:rsid w:val="00863E35"/>
    <w:rsid w:val="00864BD5"/>
    <w:rsid w:val="00867A58"/>
    <w:rsid w:val="00884BBF"/>
    <w:rsid w:val="00886036"/>
    <w:rsid w:val="008868BE"/>
    <w:rsid w:val="008970F1"/>
    <w:rsid w:val="008A0EE1"/>
    <w:rsid w:val="008A4607"/>
    <w:rsid w:val="008B1563"/>
    <w:rsid w:val="008C16AC"/>
    <w:rsid w:val="008C1F75"/>
    <w:rsid w:val="008E25E0"/>
    <w:rsid w:val="0090136A"/>
    <w:rsid w:val="00904548"/>
    <w:rsid w:val="0091453F"/>
    <w:rsid w:val="00915EAC"/>
    <w:rsid w:val="0092094E"/>
    <w:rsid w:val="00936FBC"/>
    <w:rsid w:val="00947210"/>
    <w:rsid w:val="009511E1"/>
    <w:rsid w:val="009866FF"/>
    <w:rsid w:val="00987831"/>
    <w:rsid w:val="009A6650"/>
    <w:rsid w:val="009D1C7C"/>
    <w:rsid w:val="009D306C"/>
    <w:rsid w:val="00A132BE"/>
    <w:rsid w:val="00A1793B"/>
    <w:rsid w:val="00A33B68"/>
    <w:rsid w:val="00A53FF7"/>
    <w:rsid w:val="00A729BF"/>
    <w:rsid w:val="00A94185"/>
    <w:rsid w:val="00AC235D"/>
    <w:rsid w:val="00AD0141"/>
    <w:rsid w:val="00AD488C"/>
    <w:rsid w:val="00AF047E"/>
    <w:rsid w:val="00B1258B"/>
    <w:rsid w:val="00B46984"/>
    <w:rsid w:val="00B73EFC"/>
    <w:rsid w:val="00B960C5"/>
    <w:rsid w:val="00B968A9"/>
    <w:rsid w:val="00BA04D9"/>
    <w:rsid w:val="00BE7813"/>
    <w:rsid w:val="00BE7F31"/>
    <w:rsid w:val="00C00798"/>
    <w:rsid w:val="00C07ED3"/>
    <w:rsid w:val="00C101C4"/>
    <w:rsid w:val="00C214F3"/>
    <w:rsid w:val="00C216BA"/>
    <w:rsid w:val="00C21B18"/>
    <w:rsid w:val="00C26F2A"/>
    <w:rsid w:val="00C470EE"/>
    <w:rsid w:val="00C56288"/>
    <w:rsid w:val="00C6562B"/>
    <w:rsid w:val="00C8079A"/>
    <w:rsid w:val="00C90A44"/>
    <w:rsid w:val="00CA2CCB"/>
    <w:rsid w:val="00CD0C38"/>
    <w:rsid w:val="00CE49EF"/>
    <w:rsid w:val="00CE7ACC"/>
    <w:rsid w:val="00CF335C"/>
    <w:rsid w:val="00D01AFA"/>
    <w:rsid w:val="00D03BCE"/>
    <w:rsid w:val="00D1434B"/>
    <w:rsid w:val="00D16DF8"/>
    <w:rsid w:val="00D3674E"/>
    <w:rsid w:val="00D524E1"/>
    <w:rsid w:val="00D5726B"/>
    <w:rsid w:val="00D610B8"/>
    <w:rsid w:val="00D62F58"/>
    <w:rsid w:val="00D76ADD"/>
    <w:rsid w:val="00D77654"/>
    <w:rsid w:val="00D90DCB"/>
    <w:rsid w:val="00DA1352"/>
    <w:rsid w:val="00DC35B3"/>
    <w:rsid w:val="00DE5FC1"/>
    <w:rsid w:val="00E005E3"/>
    <w:rsid w:val="00E1108F"/>
    <w:rsid w:val="00E12CF8"/>
    <w:rsid w:val="00E2769E"/>
    <w:rsid w:val="00E27A8D"/>
    <w:rsid w:val="00E87187"/>
    <w:rsid w:val="00E90006"/>
    <w:rsid w:val="00E94DD0"/>
    <w:rsid w:val="00EC435F"/>
    <w:rsid w:val="00EE141D"/>
    <w:rsid w:val="00EF7EF6"/>
    <w:rsid w:val="00F0121F"/>
    <w:rsid w:val="00F07AA7"/>
    <w:rsid w:val="00F1091C"/>
    <w:rsid w:val="00F16AA1"/>
    <w:rsid w:val="00F2453A"/>
    <w:rsid w:val="00F57F5C"/>
    <w:rsid w:val="00F74DBD"/>
    <w:rsid w:val="00FC6C1F"/>
    <w:rsid w:val="00FD1CBC"/>
    <w:rsid w:val="00FF38A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ADCE"/>
  <w15:chartTrackingRefBased/>
  <w15:docId w15:val="{5EBEBCA8-89C1-4DA0-A84F-A424075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47210"/>
    <w:rPr>
      <w:b/>
      <w:bCs/>
    </w:rPr>
  </w:style>
  <w:style w:type="paragraph" w:styleId="BodyText">
    <w:name w:val="Body Text"/>
    <w:aliases w:val="  uvlaka 2, uvlaka 3"/>
    <w:basedOn w:val="Normal"/>
    <w:link w:val="BodyTextChar"/>
    <w:unhideWhenUsed/>
    <w:rsid w:val="00947210"/>
    <w:pPr>
      <w:spacing w:after="120" w:line="259" w:lineRule="auto"/>
    </w:pPr>
    <w:rPr>
      <w:lang w:val="hr-HR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947210"/>
    <w:rPr>
      <w:lang w:val="hr-HR"/>
    </w:rPr>
  </w:style>
  <w:style w:type="paragraph" w:styleId="NoSpacing">
    <w:name w:val="No Spacing"/>
    <w:uiPriority w:val="1"/>
    <w:qFormat/>
    <w:rsid w:val="00410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Dugagjin  Sokoli</cp:lastModifiedBy>
  <cp:revision>3</cp:revision>
  <dcterms:created xsi:type="dcterms:W3CDTF">2024-07-17T09:49:00Z</dcterms:created>
  <dcterms:modified xsi:type="dcterms:W3CDTF">2024-07-17T09:49:00Z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1915280664</vt:i4>
  </property>
  <property fmtid="{D5CDD505-2E9C-101B-9397-08002B2CF9AE}" pid="3" name="_NewReviewCycle">
    <vt:lpwstr/>
  </property>
  <property fmtid="{D5CDD505-2E9C-101B-9397-08002B2CF9AE}" pid="4" name="_EmailSubject">
    <vt:lpwstr>cv Ksenija</vt:lpwstr>
  </property>
  <property fmtid="{D5CDD505-2E9C-101B-9397-08002B2CF9AE}" pid="5" name="_AuthorEmail">
    <vt:lpwstr>ksenija.rener@mf.uni-lj.si</vt:lpwstr>
  </property>
  <property fmtid="{D5CDD505-2E9C-101B-9397-08002B2CF9AE}" pid="6" name="_AuthorEmailDisplayName">
    <vt:lpwstr>Ksenija Rener Sitar</vt:lpwstr>
  </property>
  <property fmtid="{D5CDD505-2E9C-101B-9397-08002B2CF9AE}" pid="7" name="_ReviewingToolsShownOnce">
    <vt:lpwstr/>
  </property>
</Properties>
</file>